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9FD0" w14:textId="46955F9E" w:rsidR="00CD03BA" w:rsidRPr="002502C6" w:rsidRDefault="00597278" w:rsidP="00597278">
      <w:pPr>
        <w:pStyle w:val="FSTitle"/>
        <w:rPr>
          <w:rStyle w:val="shrm-style-nodropcap"/>
          <w:b w:val="0"/>
          <w:szCs w:val="28"/>
        </w:rPr>
      </w:pPr>
      <w:r w:rsidRPr="00597278">
        <w:t xml:space="preserve">HR CHECKLIST - FAMILIES FIRST CORONAVIRUS RESPONSE ACT (FFCRA) </w:t>
      </w:r>
    </w:p>
    <w:p w14:paraId="723E01DC" w14:textId="7498F0A8" w:rsidR="00231357" w:rsidRPr="003C4379" w:rsidRDefault="00597278" w:rsidP="00597278">
      <w:pPr>
        <w:pStyle w:val="NoSpacing"/>
        <w:rPr>
          <w:rFonts w:cstheme="minorHAnsi"/>
          <w:sz w:val="20"/>
        </w:rPr>
      </w:pPr>
      <w:r w:rsidRPr="003C4379">
        <w:rPr>
          <w:rStyle w:val="shrm-style-nodropcap"/>
          <w:rFonts w:cstheme="minorHAnsi"/>
          <w:b/>
          <w:sz w:val="20"/>
        </w:rPr>
        <w:t>NOTE TO EMPLOYER:</w:t>
      </w:r>
      <w:r w:rsidRPr="003C4379">
        <w:rPr>
          <w:rStyle w:val="shrm-style-nodropcap"/>
          <w:rFonts w:cstheme="minorHAnsi"/>
          <w:sz w:val="20"/>
        </w:rPr>
        <w:t xml:space="preserve"> Effective April 1, 2020, the Families First Coronavirus Response Act (FFCRA) requires employers with less than 500 employees to provide all employees with up to 80 hours (10 workdays) of emergency paid sick leave for qualifying reasons. Those same employers (unless excepted) must also provide eligible employees (after 30 days of employment) up to 12 weeks for qualifying reasons under Emergency Family Medical Leave Expansion Act (EFMLEA). </w:t>
      </w:r>
      <w:r w:rsidR="003C4379">
        <w:rPr>
          <w:rStyle w:val="shrm-style-nodropcap"/>
          <w:rFonts w:cstheme="minorHAnsi"/>
          <w:sz w:val="20"/>
        </w:rPr>
        <w:t xml:space="preserve"> </w:t>
      </w:r>
      <w:r w:rsidRPr="003C4379">
        <w:rPr>
          <w:rStyle w:val="shrm-style-nodropcap"/>
          <w:rFonts w:cstheme="minorHAnsi"/>
          <w:sz w:val="20"/>
        </w:rPr>
        <w:t xml:space="preserve">Additional details and information on FFCRA are available on Warren Averett’s </w:t>
      </w:r>
      <w:hyperlink r:id="rId11" w:history="1">
        <w:r w:rsidRPr="003C4379">
          <w:rPr>
            <w:rStyle w:val="Hyperlink"/>
            <w:rFonts w:cstheme="minorHAnsi"/>
            <w:sz w:val="20"/>
          </w:rPr>
          <w:t>website</w:t>
        </w:r>
      </w:hyperlink>
      <w:r w:rsidRPr="003C4379">
        <w:rPr>
          <w:rStyle w:val="shrm-style-nodropcap"/>
          <w:rFonts w:cstheme="minorHAnsi"/>
          <w:sz w:val="20"/>
        </w:rPr>
        <w:t xml:space="preserve">.  </w:t>
      </w:r>
      <w:r w:rsidR="00BE1E25" w:rsidRPr="003C4379">
        <w:rPr>
          <w:sz w:val="20"/>
        </w:rPr>
        <w:t> </w:t>
      </w:r>
    </w:p>
    <w:p w14:paraId="4D704E10" w14:textId="0181F417" w:rsidR="00597278" w:rsidRDefault="00597278" w:rsidP="00597278">
      <w:pPr>
        <w:pStyle w:val="NoSpacing"/>
      </w:pPr>
    </w:p>
    <w:p w14:paraId="2CCC364E" w14:textId="77777777" w:rsidR="00597278" w:rsidRPr="00597278" w:rsidRDefault="00597278" w:rsidP="00597278">
      <w:pPr>
        <w:pStyle w:val="NoSpacing"/>
        <w:rPr>
          <w:b/>
          <w:sz w:val="24"/>
        </w:rPr>
      </w:pPr>
      <w:r w:rsidRPr="00597278">
        <w:rPr>
          <w:b/>
          <w:sz w:val="24"/>
        </w:rPr>
        <w:t>This checklist includes recommended actions for HR professionals related to FFCRA:</w:t>
      </w:r>
    </w:p>
    <w:p w14:paraId="314C1751" w14:textId="77777777" w:rsidR="00597278" w:rsidRPr="003C4379" w:rsidRDefault="00597278" w:rsidP="00597278">
      <w:pPr>
        <w:pStyle w:val="NoSpacing"/>
        <w:rPr>
          <w:sz w:val="12"/>
        </w:rPr>
      </w:pPr>
    </w:p>
    <w:p w14:paraId="3DB1104D" w14:textId="646DD99C" w:rsidR="00597278" w:rsidRPr="00597278" w:rsidRDefault="00597278" w:rsidP="003C4379">
      <w:pPr>
        <w:pStyle w:val="NoSpacing"/>
        <w:numPr>
          <w:ilvl w:val="0"/>
          <w:numId w:val="4"/>
        </w:numPr>
        <w:ind w:left="360"/>
        <w:rPr>
          <w:b/>
          <w:color w:val="FF0000"/>
        </w:rPr>
      </w:pPr>
      <w:r>
        <w:t xml:space="preserve">Create and distribute a written policy notifying employees of their rights and responsibilities for Emergency Paid Sick Leave (EPSL) and Emergency FMLA (EFMLA) under the FFCRA. Warren Averett has developed </w:t>
      </w:r>
      <w:r w:rsidRPr="004F46C6">
        <w:t xml:space="preserve">a </w:t>
      </w:r>
      <w:r w:rsidR="004F46C6" w:rsidRPr="004F46C6">
        <w:t>sample policy</w:t>
      </w:r>
      <w:r w:rsidRPr="004F46C6">
        <w:t xml:space="preserve"> </w:t>
      </w:r>
      <w:r>
        <w:t xml:space="preserve">for employers for both </w:t>
      </w:r>
      <w:hyperlink r:id="rId12" w:history="1">
        <w:r w:rsidRPr="00E31F49">
          <w:rPr>
            <w:rStyle w:val="Hyperlink"/>
          </w:rPr>
          <w:t>EPSL</w:t>
        </w:r>
      </w:hyperlink>
      <w:r>
        <w:t xml:space="preserve"> and </w:t>
      </w:r>
      <w:hyperlink r:id="rId13" w:history="1">
        <w:r w:rsidRPr="004F46C6">
          <w:rPr>
            <w:rStyle w:val="Hyperlink"/>
          </w:rPr>
          <w:t>EFMLA</w:t>
        </w:r>
      </w:hyperlink>
      <w:r>
        <w:t xml:space="preserve">. </w:t>
      </w:r>
    </w:p>
    <w:p w14:paraId="48A2358F" w14:textId="6C7E6504" w:rsidR="00597278" w:rsidRPr="00B830E0" w:rsidRDefault="00597278" w:rsidP="00597278">
      <w:pPr>
        <w:pStyle w:val="NoSpacing"/>
        <w:numPr>
          <w:ilvl w:val="0"/>
          <w:numId w:val="1"/>
        </w:numPr>
        <w:ind w:left="360"/>
      </w:pPr>
      <w:r>
        <w:t xml:space="preserve">Post the </w:t>
      </w:r>
      <w:hyperlink r:id="rId14" w:history="1">
        <w:r w:rsidRPr="003C4379">
          <w:rPr>
            <w:rStyle w:val="Hyperlink"/>
          </w:rPr>
          <w:t>required notice</w:t>
        </w:r>
      </w:hyperlink>
      <w:r>
        <w:t xml:space="preserve"> approved by the Secretary of Labor alongside all other mandatory employment posters. Emailing or direct mailing this notice to remote working employees is </w:t>
      </w:r>
      <w:r w:rsidR="004F46C6">
        <w:t>allowed or</w:t>
      </w:r>
      <w:r>
        <w:t xml:space="preserve"> posting this notice on an employee information internal or external website. </w:t>
      </w:r>
    </w:p>
    <w:p w14:paraId="046DEC6B" w14:textId="44C250E5" w:rsidR="00597278" w:rsidRDefault="00597278" w:rsidP="003C4379">
      <w:pPr>
        <w:pStyle w:val="NoSpacing"/>
        <w:numPr>
          <w:ilvl w:val="0"/>
          <w:numId w:val="2"/>
        </w:numPr>
        <w:ind w:left="360"/>
      </w:pPr>
      <w:r>
        <w:t xml:space="preserve">Payroll processors should use a special </w:t>
      </w:r>
      <w:proofErr w:type="spellStart"/>
      <w:r>
        <w:t>paycode</w:t>
      </w:r>
      <w:proofErr w:type="spellEnd"/>
      <w:r>
        <w:t xml:space="preserve"> to capture time paid under these acts. A separate </w:t>
      </w:r>
      <w:proofErr w:type="spellStart"/>
      <w:r>
        <w:t>paycode</w:t>
      </w:r>
      <w:proofErr w:type="spellEnd"/>
      <w:r>
        <w:t xml:space="preserve"> for each category of leave pay should be used. To utilize Hours/Earnings Codes for Families First Coronavirus Response Act, we recommend checking with your payroll platform provider for guidance. These systems will accommodate tracking the leave and calculation of tax. In the absence of codes provided by a payroll provider, we suggest using the following </w:t>
      </w:r>
      <w:proofErr w:type="spellStart"/>
      <w:r>
        <w:t>paycodes</w:t>
      </w:r>
      <w:proofErr w:type="spellEnd"/>
      <w:r>
        <w:t>:</w:t>
      </w:r>
    </w:p>
    <w:p w14:paraId="49E47CDE" w14:textId="68FBAE52" w:rsidR="00597278" w:rsidRPr="003C4379" w:rsidRDefault="00597278" w:rsidP="003C4379">
      <w:pPr>
        <w:pStyle w:val="NoSpacing"/>
        <w:numPr>
          <w:ilvl w:val="0"/>
          <w:numId w:val="3"/>
        </w:numPr>
        <w:rPr>
          <w:b/>
          <w:sz w:val="20"/>
        </w:rPr>
      </w:pPr>
      <w:r w:rsidRPr="00597278">
        <w:rPr>
          <w:b/>
          <w:sz w:val="20"/>
        </w:rPr>
        <w:t>FF-PSL-EE</w:t>
      </w:r>
      <w:r w:rsidR="003C4379">
        <w:rPr>
          <w:b/>
          <w:sz w:val="20"/>
        </w:rPr>
        <w:t xml:space="preserve">: </w:t>
      </w:r>
      <w:r w:rsidRPr="003C4379">
        <w:rPr>
          <w:sz w:val="20"/>
        </w:rPr>
        <w:t>For use of the Emergency Paid Sick Leave provision (up to ten days of regular pay up to $511 per day for qualifying reasons related to symptoms and quarantine as advised by a medical provider).</w:t>
      </w:r>
    </w:p>
    <w:p w14:paraId="31D5084A" w14:textId="4EB4BF8A" w:rsidR="00597278" w:rsidRPr="003C4379" w:rsidRDefault="00597278" w:rsidP="003C4379">
      <w:pPr>
        <w:pStyle w:val="NoSpacing"/>
        <w:numPr>
          <w:ilvl w:val="0"/>
          <w:numId w:val="3"/>
        </w:numPr>
        <w:rPr>
          <w:b/>
          <w:sz w:val="20"/>
        </w:rPr>
      </w:pPr>
      <w:r w:rsidRPr="00597278">
        <w:rPr>
          <w:b/>
          <w:sz w:val="20"/>
        </w:rPr>
        <w:t>FF-PSL-FA</w:t>
      </w:r>
      <w:r w:rsidR="00B830E0">
        <w:rPr>
          <w:b/>
          <w:sz w:val="20"/>
        </w:rPr>
        <w:t>M</w:t>
      </w:r>
      <w:r w:rsidR="003C4379">
        <w:rPr>
          <w:b/>
          <w:sz w:val="20"/>
        </w:rPr>
        <w:t xml:space="preserve">: </w:t>
      </w:r>
      <w:r w:rsidRPr="003C4379">
        <w:rPr>
          <w:sz w:val="20"/>
        </w:rPr>
        <w:t>For use of the Emergency Paid Sick Leave provision (up to ten days of two-thirds (2/3) regular pay up to $200 per day for qualifying reasons related to caring for a quarantined individual or caring for a minor child if school/daycare is closed).</w:t>
      </w:r>
    </w:p>
    <w:p w14:paraId="5EDFABCD" w14:textId="5FB44899" w:rsidR="00597278" w:rsidRPr="003C4379" w:rsidRDefault="00597278" w:rsidP="003C4379">
      <w:pPr>
        <w:pStyle w:val="NoSpacing"/>
        <w:numPr>
          <w:ilvl w:val="0"/>
          <w:numId w:val="3"/>
        </w:numPr>
        <w:rPr>
          <w:b/>
          <w:sz w:val="20"/>
        </w:rPr>
      </w:pPr>
      <w:r w:rsidRPr="00597278">
        <w:rPr>
          <w:b/>
          <w:sz w:val="20"/>
        </w:rPr>
        <w:t>FF-FMLA</w:t>
      </w:r>
      <w:r w:rsidR="003C4379">
        <w:rPr>
          <w:b/>
          <w:sz w:val="20"/>
        </w:rPr>
        <w:t xml:space="preserve">: </w:t>
      </w:r>
      <w:r w:rsidRPr="003C4379">
        <w:rPr>
          <w:sz w:val="20"/>
        </w:rPr>
        <w:t xml:space="preserve">For use of the Emergency Family Medical Leave Act provision (two-thirds (2/3) pay up to $200 per day to care for a child whose school is </w:t>
      </w:r>
      <w:proofErr w:type="gramStart"/>
      <w:r w:rsidRPr="003C4379">
        <w:rPr>
          <w:sz w:val="20"/>
        </w:rPr>
        <w:t>closed</w:t>
      </w:r>
      <w:proofErr w:type="gramEnd"/>
      <w:r w:rsidRPr="003C4379">
        <w:rPr>
          <w:sz w:val="20"/>
        </w:rPr>
        <w:t xml:space="preserve"> or childcare provider is unavailable).</w:t>
      </w:r>
    </w:p>
    <w:p w14:paraId="45CEC0AC" w14:textId="6BA6B8FC" w:rsidR="00597278" w:rsidRDefault="00597278" w:rsidP="003C4379">
      <w:pPr>
        <w:pStyle w:val="NoSpacing"/>
        <w:numPr>
          <w:ilvl w:val="0"/>
          <w:numId w:val="2"/>
        </w:numPr>
        <w:ind w:left="360"/>
      </w:pPr>
      <w:r>
        <w:t xml:space="preserve">Create a request form for employees for Emergency Paid Sick Leave (EPSL) and Emergency FMLA (EFMLA) under the FFCRA. We have developed the following request forms for </w:t>
      </w:r>
      <w:hyperlink r:id="rId15" w:history="1">
        <w:r w:rsidRPr="004F46C6">
          <w:rPr>
            <w:rStyle w:val="Hyperlink"/>
          </w:rPr>
          <w:t>EPSL</w:t>
        </w:r>
      </w:hyperlink>
      <w:r>
        <w:t xml:space="preserve"> and </w:t>
      </w:r>
      <w:hyperlink r:id="rId16" w:history="1">
        <w:r w:rsidRPr="004F46C6">
          <w:rPr>
            <w:rStyle w:val="Hyperlink"/>
          </w:rPr>
          <w:t>EFMLA</w:t>
        </w:r>
      </w:hyperlink>
      <w:r>
        <w:t xml:space="preserve"> for your use. </w:t>
      </w:r>
    </w:p>
    <w:p w14:paraId="27C26139" w14:textId="3024E490" w:rsidR="00597278" w:rsidRDefault="00597278" w:rsidP="003C4379">
      <w:pPr>
        <w:pStyle w:val="NoSpacing"/>
        <w:numPr>
          <w:ilvl w:val="0"/>
          <w:numId w:val="2"/>
        </w:numPr>
        <w:ind w:left="360"/>
      </w:pPr>
      <w:r>
        <w:t xml:space="preserve">Create a template form </w:t>
      </w:r>
      <w:bookmarkStart w:id="0" w:name="_GoBack"/>
      <w:bookmarkEnd w:id="0"/>
      <w:r>
        <w:t xml:space="preserve">to track employee notice and use of paid sick leave; intended for internal HR/payroll use. Warren Averett developed a </w:t>
      </w:r>
      <w:hyperlink r:id="rId17" w:history="1">
        <w:r w:rsidRPr="004F46C6">
          <w:rPr>
            <w:rStyle w:val="Hyperlink"/>
          </w:rPr>
          <w:t>sample FFCRA paid leave tracking worksheet</w:t>
        </w:r>
      </w:hyperlink>
      <w:r>
        <w:t xml:space="preserve">. </w:t>
      </w:r>
    </w:p>
    <w:p w14:paraId="717DD0CC" w14:textId="2B21ED50" w:rsidR="00597278" w:rsidRDefault="00597278" w:rsidP="003C4379">
      <w:pPr>
        <w:pStyle w:val="NoSpacing"/>
        <w:numPr>
          <w:ilvl w:val="0"/>
          <w:numId w:val="2"/>
        </w:numPr>
        <w:ind w:left="360"/>
      </w:pPr>
      <w:r>
        <w:t>Contact company accountant or attorney to discuss the fully refundable tax credit equal to 100 percent of the qualified benefits available under the FFCRA.</w:t>
      </w:r>
    </w:p>
    <w:sectPr w:rsidR="00597278">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F14BD" w14:textId="77777777" w:rsidR="00291262" w:rsidRDefault="00291262" w:rsidP="002502C6">
      <w:pPr>
        <w:spacing w:after="0" w:line="240" w:lineRule="auto"/>
      </w:pPr>
      <w:r>
        <w:separator/>
      </w:r>
    </w:p>
  </w:endnote>
  <w:endnote w:type="continuationSeparator" w:id="0">
    <w:p w14:paraId="06ADB03B" w14:textId="77777777" w:rsidR="00291262" w:rsidRDefault="00291262" w:rsidP="0025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B64D" w14:textId="77777777" w:rsidR="00597278" w:rsidRDefault="00597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D8634" w14:textId="77777777" w:rsidR="002502C6" w:rsidRDefault="002502C6" w:rsidP="002502C6">
    <w:pPr>
      <w:pStyle w:val="PictureCenter"/>
    </w:pPr>
    <w:r>
      <w:rPr>
        <w:noProof/>
      </w:rPr>
      <w:drawing>
        <wp:anchor distT="0" distB="0" distL="114300" distR="114300" simplePos="0" relativeHeight="251659264" behindDoc="1" locked="0" layoutInCell="1" allowOverlap="1" wp14:anchorId="53268F2B" wp14:editId="094F56D1">
          <wp:simplePos x="0" y="0"/>
          <wp:positionH relativeFrom="leftMargin">
            <wp:posOffset>548640</wp:posOffset>
          </wp:positionH>
          <wp:positionV relativeFrom="paragraph">
            <wp:posOffset>137160</wp:posOffset>
          </wp:positionV>
          <wp:extent cx="6766560" cy="45720"/>
          <wp:effectExtent l="0" t="0" r="0" b="0"/>
          <wp:wrapNone/>
          <wp:docPr id="7" name="Picture 7" descr="ProposalDottedLine1.jpg"/>
          <wp:cNvGraphicFramePr/>
          <a:graphic xmlns:a="http://schemas.openxmlformats.org/drawingml/2006/main">
            <a:graphicData uri="http://schemas.openxmlformats.org/drawingml/2006/picture">
              <pic:pic xmlns:pic="http://schemas.openxmlformats.org/drawingml/2006/picture">
                <pic:nvPicPr>
                  <pic:cNvPr id="14" name="Picture 14" descr="ProposalDottedLine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66560" cy="45720"/>
                  </a:xfrm>
                  <a:prstGeom prst="rect">
                    <a:avLst/>
                  </a:prstGeom>
                  <a:noFill/>
                  <a:ln w="9525">
                    <a:noFill/>
                    <a:miter lim="800000"/>
                    <a:headEnd/>
                    <a:tailEnd/>
                  </a:ln>
                </pic:spPr>
              </pic:pic>
            </a:graphicData>
          </a:graphic>
          <wp14:sizeRelH relativeFrom="margin">
            <wp14:pctWidth>0</wp14:pctWidth>
          </wp14:sizeRelH>
        </wp:anchor>
      </w:drawing>
    </w:r>
  </w:p>
  <w:p w14:paraId="2E93FBE1" w14:textId="77777777" w:rsidR="00597278" w:rsidRPr="00597278" w:rsidRDefault="00597278" w:rsidP="00597278">
    <w:pPr>
      <w:pStyle w:val="Footer"/>
      <w:rPr>
        <w:rFonts w:ascii="Arial" w:eastAsia="Times New Roman" w:hAnsi="Arial" w:cs="Times New Roman"/>
        <w:i/>
        <w:noProof/>
        <w:color w:val="000000"/>
        <w:sz w:val="16"/>
        <w:szCs w:val="24"/>
      </w:rPr>
    </w:pPr>
    <w:r w:rsidRPr="00597278">
      <w:rPr>
        <w:rFonts w:ascii="Arial" w:eastAsia="Times New Roman" w:hAnsi="Arial" w:cs="Times New Roman"/>
        <w:i/>
        <w:noProof/>
        <w:color w:val="000000"/>
        <w:sz w:val="16"/>
        <w:szCs w:val="24"/>
      </w:rPr>
      <w:t>This sample document is only an example and is based on the laws in effect at the time it was written. Warren Averett, LLC does not make any representations or warranties regarding the appropriateness or prudence of using this information for any particular individual or situation. Your company should add, delete or modify the content of this document as needed to suit your purposes. This material is for your information only and should not be construed as legal advice. In some circumstances it may be advisable to have legal counsel review final documents prior to implementation.</w:t>
    </w:r>
  </w:p>
  <w:p w14:paraId="3A75E51C" w14:textId="7E32B26A" w:rsidR="002502C6" w:rsidRDefault="00597278" w:rsidP="00597278">
    <w:pPr>
      <w:pStyle w:val="Footer"/>
    </w:pPr>
    <w:r w:rsidRPr="00597278">
      <w:rPr>
        <w:rFonts w:ascii="Arial" w:eastAsia="Times New Roman" w:hAnsi="Arial" w:cs="Times New Roman"/>
        <w:i/>
        <w:noProof/>
        <w:color w:val="000000"/>
        <w:sz w:val="16"/>
        <w:szCs w:val="24"/>
      </w:rPr>
      <w:tab/>
    </w:r>
    <w:r w:rsidRPr="00597278">
      <w:rPr>
        <w:rFonts w:ascii="Arial" w:eastAsia="Times New Roman" w:hAnsi="Arial" w:cs="Times New Roman"/>
        <w:i/>
        <w:noProof/>
        <w:color w:val="000000"/>
        <w:sz w:val="16"/>
        <w:szCs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C99C4" w14:textId="77777777" w:rsidR="00597278" w:rsidRDefault="00597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1BAC8" w14:textId="77777777" w:rsidR="00291262" w:rsidRDefault="00291262" w:rsidP="002502C6">
      <w:pPr>
        <w:spacing w:after="0" w:line="240" w:lineRule="auto"/>
      </w:pPr>
      <w:r>
        <w:separator/>
      </w:r>
    </w:p>
  </w:footnote>
  <w:footnote w:type="continuationSeparator" w:id="0">
    <w:p w14:paraId="6E0C3541" w14:textId="77777777" w:rsidR="00291262" w:rsidRDefault="00291262" w:rsidP="00250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F4C2" w14:textId="77777777" w:rsidR="00597278" w:rsidRDefault="005972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D6EA" w14:textId="3FDA3BCA" w:rsidR="002502C6" w:rsidRDefault="002502C6">
    <w:pPr>
      <w:pStyle w:val="Header"/>
      <w:rPr>
        <w:rFonts w:ascii="Arial" w:hAnsi="Arial" w:cs="Arial"/>
        <w:b/>
        <w:color w:val="006EAA"/>
        <w:sz w:val="32"/>
      </w:rPr>
    </w:pPr>
    <w:r>
      <w:rPr>
        <w:noProof/>
      </w:rPr>
      <w:drawing>
        <wp:inline distT="0" distB="0" distL="0" distR="0" wp14:anchorId="43781C95" wp14:editId="71ED5ADD">
          <wp:extent cx="1973580" cy="783017"/>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R CPA 2UC Logo FIXED.jpg"/>
                  <pic:cNvPicPr/>
                </pic:nvPicPr>
                <pic:blipFill>
                  <a:blip r:embed="rId1">
                    <a:extLst>
                      <a:ext uri="{28A0092B-C50C-407E-A947-70E740481C1C}">
                        <a14:useLocalDpi xmlns:a14="http://schemas.microsoft.com/office/drawing/2010/main" val="0"/>
                      </a:ext>
                    </a:extLst>
                  </a:blip>
                  <a:stretch>
                    <a:fillRect/>
                  </a:stretch>
                </pic:blipFill>
                <pic:spPr>
                  <a:xfrm>
                    <a:off x="0" y="0"/>
                    <a:ext cx="1998015" cy="792712"/>
                  </a:xfrm>
                  <a:prstGeom prst="rect">
                    <a:avLst/>
                  </a:prstGeom>
                </pic:spPr>
              </pic:pic>
            </a:graphicData>
          </a:graphic>
        </wp:inline>
      </w:drawing>
    </w:r>
    <w:r>
      <w:tab/>
    </w:r>
    <w:r>
      <w:tab/>
    </w:r>
  </w:p>
  <w:p w14:paraId="2E1E22F5" w14:textId="77777777" w:rsidR="002502C6" w:rsidRPr="002502C6" w:rsidRDefault="002502C6">
    <w:pPr>
      <w:pStyle w:val="Header"/>
      <w:rPr>
        <w:rFonts w:ascii="Arial" w:hAnsi="Arial" w:cs="Arial"/>
        <w:b/>
        <w:color w:val="006EAA"/>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BE291" w14:textId="77777777" w:rsidR="00597278" w:rsidRDefault="005972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1524"/>
    <w:multiLevelType w:val="hybridMultilevel"/>
    <w:tmpl w:val="3248544C"/>
    <w:lvl w:ilvl="0" w:tplc="7236181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92117"/>
    <w:multiLevelType w:val="hybridMultilevel"/>
    <w:tmpl w:val="6B0AB6D0"/>
    <w:lvl w:ilvl="0" w:tplc="C87CB12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F581F"/>
    <w:multiLevelType w:val="hybridMultilevel"/>
    <w:tmpl w:val="D3062F38"/>
    <w:lvl w:ilvl="0" w:tplc="058067E6">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B772E"/>
    <w:multiLevelType w:val="hybridMultilevel"/>
    <w:tmpl w:val="E992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25"/>
    <w:rsid w:val="0007584A"/>
    <w:rsid w:val="00231357"/>
    <w:rsid w:val="002502C6"/>
    <w:rsid w:val="0025673A"/>
    <w:rsid w:val="00291262"/>
    <w:rsid w:val="003C4379"/>
    <w:rsid w:val="004F46C6"/>
    <w:rsid w:val="005607D9"/>
    <w:rsid w:val="00597278"/>
    <w:rsid w:val="00664600"/>
    <w:rsid w:val="00715DB2"/>
    <w:rsid w:val="007F16E0"/>
    <w:rsid w:val="0084366A"/>
    <w:rsid w:val="00847A0E"/>
    <w:rsid w:val="0089485D"/>
    <w:rsid w:val="009E73A4"/>
    <w:rsid w:val="00B830E0"/>
    <w:rsid w:val="00BE1E25"/>
    <w:rsid w:val="00BF7FCB"/>
    <w:rsid w:val="00CD03BA"/>
    <w:rsid w:val="00D16233"/>
    <w:rsid w:val="00D328D6"/>
    <w:rsid w:val="00E2653C"/>
    <w:rsid w:val="00E31F49"/>
    <w:rsid w:val="00E81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65A537"/>
  <w15:chartTrackingRefBased/>
  <w15:docId w15:val="{8EF9E793-F0C0-4979-A18F-00A7271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BE1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BE1E25"/>
  </w:style>
  <w:style w:type="paragraph" w:styleId="NormalWeb">
    <w:name w:val="Normal (Web)"/>
    <w:basedOn w:val="Normal"/>
    <w:uiPriority w:val="99"/>
    <w:unhideWhenUsed/>
    <w:rsid w:val="00BE1E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15DB2"/>
    <w:pPr>
      <w:spacing w:after="0" w:line="240" w:lineRule="auto"/>
    </w:pPr>
  </w:style>
  <w:style w:type="character" w:styleId="CommentReference">
    <w:name w:val="annotation reference"/>
    <w:basedOn w:val="DefaultParagraphFont"/>
    <w:uiPriority w:val="99"/>
    <w:semiHidden/>
    <w:unhideWhenUsed/>
    <w:rsid w:val="0025673A"/>
    <w:rPr>
      <w:sz w:val="16"/>
      <w:szCs w:val="16"/>
    </w:rPr>
  </w:style>
  <w:style w:type="paragraph" w:styleId="CommentText">
    <w:name w:val="annotation text"/>
    <w:basedOn w:val="Normal"/>
    <w:link w:val="CommentTextChar"/>
    <w:uiPriority w:val="99"/>
    <w:semiHidden/>
    <w:unhideWhenUsed/>
    <w:rsid w:val="0025673A"/>
    <w:pPr>
      <w:spacing w:line="240" w:lineRule="auto"/>
    </w:pPr>
    <w:rPr>
      <w:sz w:val="20"/>
      <w:szCs w:val="20"/>
    </w:rPr>
  </w:style>
  <w:style w:type="character" w:customStyle="1" w:styleId="CommentTextChar">
    <w:name w:val="Comment Text Char"/>
    <w:basedOn w:val="DefaultParagraphFont"/>
    <w:link w:val="CommentText"/>
    <w:uiPriority w:val="99"/>
    <w:semiHidden/>
    <w:rsid w:val="0025673A"/>
    <w:rPr>
      <w:sz w:val="20"/>
      <w:szCs w:val="20"/>
    </w:rPr>
  </w:style>
  <w:style w:type="paragraph" w:styleId="CommentSubject">
    <w:name w:val="annotation subject"/>
    <w:basedOn w:val="CommentText"/>
    <w:next w:val="CommentText"/>
    <w:link w:val="CommentSubjectChar"/>
    <w:uiPriority w:val="99"/>
    <w:semiHidden/>
    <w:unhideWhenUsed/>
    <w:rsid w:val="0025673A"/>
    <w:rPr>
      <w:b/>
      <w:bCs/>
    </w:rPr>
  </w:style>
  <w:style w:type="character" w:customStyle="1" w:styleId="CommentSubjectChar">
    <w:name w:val="Comment Subject Char"/>
    <w:basedOn w:val="CommentTextChar"/>
    <w:link w:val="CommentSubject"/>
    <w:uiPriority w:val="99"/>
    <w:semiHidden/>
    <w:rsid w:val="0025673A"/>
    <w:rPr>
      <w:b/>
      <w:bCs/>
      <w:sz w:val="20"/>
      <w:szCs w:val="20"/>
    </w:rPr>
  </w:style>
  <w:style w:type="paragraph" w:styleId="BalloonText">
    <w:name w:val="Balloon Text"/>
    <w:basedOn w:val="Normal"/>
    <w:link w:val="BalloonTextChar"/>
    <w:uiPriority w:val="99"/>
    <w:semiHidden/>
    <w:unhideWhenUsed/>
    <w:rsid w:val="00256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73A"/>
    <w:rPr>
      <w:rFonts w:ascii="Segoe UI" w:hAnsi="Segoe UI" w:cs="Segoe UI"/>
      <w:sz w:val="18"/>
      <w:szCs w:val="18"/>
    </w:rPr>
  </w:style>
  <w:style w:type="paragraph" w:styleId="Header">
    <w:name w:val="header"/>
    <w:basedOn w:val="Normal"/>
    <w:link w:val="HeaderChar"/>
    <w:uiPriority w:val="99"/>
    <w:unhideWhenUsed/>
    <w:rsid w:val="002502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2C6"/>
  </w:style>
  <w:style w:type="paragraph" w:styleId="Footer">
    <w:name w:val="footer"/>
    <w:basedOn w:val="Normal"/>
    <w:link w:val="FooterChar"/>
    <w:uiPriority w:val="99"/>
    <w:unhideWhenUsed/>
    <w:rsid w:val="002502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2C6"/>
  </w:style>
  <w:style w:type="paragraph" w:customStyle="1" w:styleId="PictureCenter">
    <w:name w:val="*PictureCenter"/>
    <w:basedOn w:val="Normal"/>
    <w:next w:val="Normal"/>
    <w:qFormat/>
    <w:rsid w:val="002502C6"/>
    <w:pPr>
      <w:spacing w:before="120" w:after="40" w:line="240" w:lineRule="auto"/>
      <w:jc w:val="center"/>
    </w:pPr>
    <w:rPr>
      <w:rFonts w:ascii="Arial" w:eastAsia="Times New Roman" w:hAnsi="Arial" w:cs="Times New Roman"/>
    </w:rPr>
  </w:style>
  <w:style w:type="paragraph" w:customStyle="1" w:styleId="FSTitle">
    <w:name w:val="FSTitle"/>
    <w:autoRedefine/>
    <w:rsid w:val="00597278"/>
    <w:pPr>
      <w:spacing w:after="240" w:line="240" w:lineRule="auto"/>
    </w:pPr>
    <w:rPr>
      <w:rFonts w:ascii="Century Gothic" w:eastAsia="Times New Roman" w:hAnsi="Century Gothic" w:cs="Times New Roman"/>
      <w:b/>
      <w:snapToGrid w:val="0"/>
      <w:color w:val="000000"/>
      <w:sz w:val="28"/>
      <w:szCs w:val="20"/>
    </w:rPr>
  </w:style>
  <w:style w:type="character" w:styleId="Hyperlink">
    <w:name w:val="Hyperlink"/>
    <w:basedOn w:val="DefaultParagraphFont"/>
    <w:uiPriority w:val="99"/>
    <w:unhideWhenUsed/>
    <w:rsid w:val="00597278"/>
    <w:rPr>
      <w:color w:val="0563C1" w:themeColor="hyperlink"/>
      <w:u w:val="single"/>
    </w:rPr>
  </w:style>
  <w:style w:type="character" w:styleId="UnresolvedMention">
    <w:name w:val="Unresolved Mention"/>
    <w:basedOn w:val="DefaultParagraphFont"/>
    <w:uiPriority w:val="99"/>
    <w:semiHidden/>
    <w:unhideWhenUsed/>
    <w:rsid w:val="0059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15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renaverett.com/wp-content/uploads/FMLA-Leave-Expansion-Policy-COVID-19-FINAL.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arrenaverett.com/wp-content/uploads/Emergency-Sick-Leave-Sample-Policy-COVID-19-FINAL-1-1.docx" TargetMode="External"/><Relationship Id="rId17" Type="http://schemas.openxmlformats.org/officeDocument/2006/relationships/hyperlink" Target="https://warrenaverett.com/wp-content/uploads/FFCRA-Emergency-Paid-Leave-Absence-Tracking-Worksheet-1.xls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arrenaverett.com/wp-content/uploads/Expanded-Family-Medical-Leave-Request-Form-COVID-19-FINAL.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rrenaverett.com/insights/families-first-coronavirus-response-act/?utm_campaign=Tax%20Alerts&amp;utm_source=hs_email&amp;utm_medium=email&amp;_hsenc=p2ANqtz-_cj6TFHzc5vF19_G6n6uInvWyEGh9DxaLiKRS3Ba4JdSVUbwn2P3-NdKnqYz-iagTWs6n7"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arrenaverett.com/wp-content/uploads/Sample-Sick-Leave-Request-Form-COVID-19_-FINAL.doc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WHD/posters/FFCRA_Poster_WH1422_Non-Federal.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1A5A306692824D93A47EF6EAC7FE76" ma:contentTypeVersion="13" ma:contentTypeDescription="Create a new document." ma:contentTypeScope="" ma:versionID="48007f998b64d4c6390553b8284c39dc">
  <xsd:schema xmlns:xsd="http://www.w3.org/2001/XMLSchema" xmlns:xs="http://www.w3.org/2001/XMLSchema" xmlns:p="http://schemas.microsoft.com/office/2006/metadata/properties" xmlns:ns3="5602be86-7b54-4f44-abec-f78078a553dd" xmlns:ns4="2f8e0ce9-7853-4e33-9ca8-911d682852aa" targetNamespace="http://schemas.microsoft.com/office/2006/metadata/properties" ma:root="true" ma:fieldsID="dbb01565bc5dde351390a48723abf9cb" ns3:_="" ns4:_="">
    <xsd:import namespace="5602be86-7b54-4f44-abec-f78078a553dd"/>
    <xsd:import namespace="2f8e0ce9-7853-4e33-9ca8-911d682852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2be86-7b54-4f44-abec-f78078a553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8e0ce9-7853-4e33-9ca8-911d682852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A395-D5D1-4233-A116-6F84B64E1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2be86-7b54-4f44-abec-f78078a553dd"/>
    <ds:schemaRef ds:uri="2f8e0ce9-7853-4e33-9ca8-911d68285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983CC-A5FE-4892-AD79-C37274C80667}">
  <ds:schemaRefs>
    <ds:schemaRef ds:uri="http://schemas.microsoft.com/sharepoint/v3/contenttype/forms"/>
  </ds:schemaRefs>
</ds:datastoreItem>
</file>

<file path=customXml/itemProps3.xml><?xml version="1.0" encoding="utf-8"?>
<ds:datastoreItem xmlns:ds="http://schemas.openxmlformats.org/officeDocument/2006/customXml" ds:itemID="{FE27930A-D605-4B34-B559-15D880A8D9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9F044-0372-46DA-96E8-BF747E40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Warren Averett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Wilson</dc:creator>
  <cp:keywords/>
  <dc:description/>
  <cp:lastModifiedBy>Kaleigh Flatt</cp:lastModifiedBy>
  <cp:revision>2</cp:revision>
  <dcterms:created xsi:type="dcterms:W3CDTF">2020-04-01T14:13:00Z</dcterms:created>
  <dcterms:modified xsi:type="dcterms:W3CDTF">2020-04-01T14:13:00Z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0x010100EA1A5A306692824D93A47EF6EAC7FE76</vt:lpwstr>
  </property>
</Properties>
</file>